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8EEF" w14:textId="150DF2A0" w:rsidR="00681EB0" w:rsidRPr="00593BD1" w:rsidRDefault="00543DC0" w:rsidP="004F361A">
      <w:pPr>
        <w:jc w:val="center"/>
        <w:rPr>
          <w:rFonts w:ascii="Arial" w:eastAsiaTheme="minorHAnsi" w:hAnsi="Arial" w:cs="Arial"/>
          <w:b/>
          <w:bCs/>
          <w:u w:val="single"/>
        </w:rPr>
      </w:pPr>
      <w:r w:rsidRPr="00593BD1">
        <w:rPr>
          <w:rFonts w:ascii="Arial" w:eastAsiaTheme="minorHAnsi" w:hAnsi="Arial" w:cs="Arial"/>
          <w:b/>
          <w:bCs/>
          <w:u w:val="single"/>
        </w:rPr>
        <w:t xml:space="preserve">Metformin </w:t>
      </w:r>
      <w:r w:rsidR="004F361A" w:rsidRPr="00593BD1">
        <w:rPr>
          <w:rFonts w:ascii="Arial" w:eastAsiaTheme="minorHAnsi" w:hAnsi="Arial" w:cs="Arial"/>
          <w:b/>
          <w:bCs/>
          <w:u w:val="single"/>
        </w:rPr>
        <w:t>prescribing i</w:t>
      </w:r>
      <w:r w:rsidR="00F519B9" w:rsidRPr="00593BD1">
        <w:rPr>
          <w:rFonts w:ascii="Arial" w:eastAsiaTheme="minorHAnsi" w:hAnsi="Arial" w:cs="Arial"/>
          <w:b/>
          <w:bCs/>
          <w:u w:val="single"/>
        </w:rPr>
        <w:t>n chronic kidney</w:t>
      </w:r>
      <w:r w:rsidR="004F361A" w:rsidRPr="00593BD1"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gramStart"/>
      <w:r w:rsidR="004F361A" w:rsidRPr="00593BD1">
        <w:rPr>
          <w:rFonts w:ascii="Arial" w:eastAsiaTheme="minorHAnsi" w:hAnsi="Arial" w:cs="Arial"/>
          <w:b/>
          <w:bCs/>
          <w:u w:val="single"/>
        </w:rPr>
        <w:t>disease</w:t>
      </w:r>
      <w:proofErr w:type="gramEnd"/>
    </w:p>
    <w:p w14:paraId="1889DFD0" w14:textId="0C52C5D4" w:rsidR="000B1846" w:rsidRPr="004E5317" w:rsidRDefault="003D0624" w:rsidP="000B1846">
      <w:pPr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Metformin is indicated for the t</w:t>
      </w:r>
      <w:r w:rsidR="000B1846" w:rsidRPr="004E5317">
        <w:rPr>
          <w:rFonts w:ascii="Arial" w:eastAsiaTheme="minorHAnsi" w:hAnsi="Arial" w:cs="Arial"/>
          <w:sz w:val="20"/>
          <w:szCs w:val="20"/>
        </w:rPr>
        <w:t>reatment of type 2 diabetes mellitus, particularly in overweight patients, when dietary management and exercise alone does not result in adequate glycaemic control.</w:t>
      </w:r>
    </w:p>
    <w:p w14:paraId="71B73079" w14:textId="5E7C09F0" w:rsidR="00235CBF" w:rsidRPr="004E5317" w:rsidRDefault="00EC3229" w:rsidP="000B1846">
      <w:pPr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FBAC09" wp14:editId="1C4DAC51">
                <wp:simplePos x="0" y="0"/>
                <wp:positionH relativeFrom="margin">
                  <wp:posOffset>1856740</wp:posOffset>
                </wp:positionH>
                <wp:positionV relativeFrom="paragraph">
                  <wp:posOffset>80645</wp:posOffset>
                </wp:positionV>
                <wp:extent cx="2492375" cy="1076960"/>
                <wp:effectExtent l="0" t="0" r="22225" b="27940"/>
                <wp:wrapTight wrapText="bothSides">
                  <wp:wrapPolygon edited="0">
                    <wp:start x="0" y="0"/>
                    <wp:lineTo x="0" y="21778"/>
                    <wp:lineTo x="21628" y="21778"/>
                    <wp:lineTo x="216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076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674E" w14:textId="2765AA6F" w:rsidR="00E110CC" w:rsidRDefault="00E110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823CB" wp14:editId="445749C6">
                                  <wp:extent cx="2430049" cy="980474"/>
                                  <wp:effectExtent l="0" t="0" r="8890" b="0"/>
                                  <wp:docPr id="1546039639" name="Picture 1" descr="A purple pill on top of white pil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6039639" name="Picture 1" descr="A purple pill on top of white pil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2581" cy="98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A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pt;margin-top:6.35pt;width:196.25pt;height:8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" fillcolor="#b4c6e7 [1300]">
                <v:textbox>
                  <w:txbxContent>
                    <w:p w14:paraId="6370674E" w14:textId="2765AA6F" w:rsidR="00E110CC" w:rsidRDefault="00E110CC">
                      <w:r>
                        <w:rPr>
                          <w:noProof/>
                        </w:rPr>
                        <w:drawing>
                          <wp:inline distT="0" distB="0" distL="0" distR="0" wp14:anchorId="024823CB" wp14:editId="445749C6">
                            <wp:extent cx="2430049" cy="980474"/>
                            <wp:effectExtent l="0" t="0" r="8890" b="0"/>
                            <wp:docPr id="1546039639" name="Picture 1" descr="A purple pill on top of white pil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46039639" name="Picture 1" descr="A purple pill on top of white pills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2581" cy="98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28CDBA" w14:textId="77777777" w:rsidR="00E110CC" w:rsidRPr="004E5317" w:rsidRDefault="00E110CC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1B97229C" w14:textId="77777777" w:rsidR="00E110CC" w:rsidRPr="004E5317" w:rsidRDefault="00E110CC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701160A5" w14:textId="77777777" w:rsidR="00E110CC" w:rsidRPr="004E5317" w:rsidRDefault="00E110CC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1A51AA87" w14:textId="77777777" w:rsidR="00E110CC" w:rsidRPr="004E5317" w:rsidRDefault="00E110CC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66166B0E" w14:textId="77777777" w:rsidR="00E110CC" w:rsidRPr="004E5317" w:rsidRDefault="00E110CC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742D3762" w14:textId="77777777" w:rsidR="00EC3229" w:rsidRDefault="00EC3229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14DC6E34" w14:textId="77777777" w:rsidR="00593BD1" w:rsidRPr="00593BD1" w:rsidRDefault="00593BD1" w:rsidP="000B1846">
      <w:pPr>
        <w:contextualSpacing/>
        <w:rPr>
          <w:rFonts w:ascii="Arial" w:eastAsiaTheme="minorHAnsi" w:hAnsi="Arial" w:cs="Arial"/>
          <w:sz w:val="6"/>
          <w:szCs w:val="6"/>
        </w:rPr>
      </w:pPr>
    </w:p>
    <w:p w14:paraId="7C5BF105" w14:textId="28F5AE52" w:rsidR="000B1846" w:rsidRPr="004E5317" w:rsidRDefault="000B1846" w:rsidP="000B1846">
      <w:pPr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Metformin Tablets may be used as monotherapy or in combination with other oral antidiabetic agents or with insulin.</w:t>
      </w:r>
      <w:r w:rsidR="002C1CC3" w:rsidRPr="004E5317">
        <w:rPr>
          <w:rFonts w:ascii="Arial" w:eastAsiaTheme="minorHAnsi" w:hAnsi="Arial" w:cs="Arial"/>
          <w:sz w:val="20"/>
          <w:szCs w:val="20"/>
        </w:rPr>
        <w:t xml:space="preserve"> As metformin is excreted by the kidney</w:t>
      </w:r>
      <w:r w:rsidR="00F81359" w:rsidRPr="004E5317">
        <w:rPr>
          <w:rFonts w:ascii="Arial" w:eastAsiaTheme="minorHAnsi" w:hAnsi="Arial" w:cs="Arial"/>
          <w:sz w:val="20"/>
          <w:szCs w:val="20"/>
        </w:rPr>
        <w:t>s</w:t>
      </w:r>
      <w:r w:rsidR="002C1CC3" w:rsidRPr="004E5317">
        <w:rPr>
          <w:rFonts w:ascii="Arial" w:eastAsiaTheme="minorHAnsi" w:hAnsi="Arial" w:cs="Arial"/>
          <w:sz w:val="20"/>
          <w:szCs w:val="20"/>
        </w:rPr>
        <w:t>,</w:t>
      </w:r>
      <w:r w:rsidR="00F81359" w:rsidRPr="004E5317">
        <w:rPr>
          <w:rFonts w:ascii="Arial" w:eastAsiaTheme="minorHAnsi" w:hAnsi="Arial" w:cs="Arial"/>
          <w:sz w:val="20"/>
          <w:szCs w:val="20"/>
        </w:rPr>
        <w:t xml:space="preserve"> renal function</w:t>
      </w:r>
      <w:r w:rsidR="00DF11AE" w:rsidRPr="004E5317">
        <w:rPr>
          <w:rFonts w:ascii="Arial" w:eastAsiaTheme="minorHAnsi" w:hAnsi="Arial" w:cs="Arial"/>
          <w:sz w:val="20"/>
          <w:szCs w:val="20"/>
        </w:rPr>
        <w:t xml:space="preserve"> should be </w:t>
      </w:r>
      <w:r w:rsidR="00D233C9" w:rsidRPr="004E5317">
        <w:rPr>
          <w:rFonts w:ascii="Arial" w:eastAsiaTheme="minorHAnsi" w:hAnsi="Arial" w:cs="Arial"/>
          <w:sz w:val="20"/>
          <w:szCs w:val="20"/>
        </w:rPr>
        <w:t xml:space="preserve">regularly </w:t>
      </w:r>
      <w:r w:rsidR="00DF11AE" w:rsidRPr="004E5317">
        <w:rPr>
          <w:rFonts w:ascii="Arial" w:eastAsiaTheme="minorHAnsi" w:hAnsi="Arial" w:cs="Arial"/>
          <w:sz w:val="20"/>
          <w:szCs w:val="20"/>
        </w:rPr>
        <w:t>assessed</w:t>
      </w:r>
      <w:r w:rsidR="00D233C9" w:rsidRPr="004E5317">
        <w:rPr>
          <w:rFonts w:ascii="Arial" w:eastAsiaTheme="minorHAnsi" w:hAnsi="Arial" w:cs="Arial"/>
          <w:sz w:val="20"/>
          <w:szCs w:val="20"/>
        </w:rPr>
        <w:t>.</w:t>
      </w:r>
    </w:p>
    <w:p w14:paraId="7546AC34" w14:textId="77777777" w:rsidR="000B1846" w:rsidRPr="004E5317" w:rsidRDefault="000B1846" w:rsidP="000B1846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3D5FF798" w14:textId="43FAF214" w:rsidR="006E27D9" w:rsidRPr="004E5317" w:rsidRDefault="002B3172" w:rsidP="007803C8">
      <w:pPr>
        <w:contextualSpacing/>
        <w:rPr>
          <w:rFonts w:ascii="Arial" w:eastAsiaTheme="minorHAnsi" w:hAnsi="Arial" w:cs="Arial"/>
          <w:b/>
          <w:bCs/>
          <w:sz w:val="20"/>
          <w:szCs w:val="20"/>
        </w:rPr>
      </w:pPr>
      <w:r w:rsidRPr="004E5317">
        <w:rPr>
          <w:rFonts w:ascii="Arial" w:eastAsiaTheme="minorHAnsi" w:hAnsi="Arial" w:cs="Arial"/>
          <w:b/>
          <w:bCs/>
          <w:sz w:val="20"/>
          <w:szCs w:val="20"/>
        </w:rPr>
        <w:t>Before starting treatment with metformin, check renal function.</w:t>
      </w:r>
    </w:p>
    <w:p w14:paraId="6A095241" w14:textId="39F52ACA" w:rsidR="002B3172" w:rsidRPr="004E5317" w:rsidRDefault="002B3172" w:rsidP="006E27D9">
      <w:pPr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Do not start metformin treatment if eGFR</w:t>
      </w:r>
      <w:r w:rsidR="009B1405" w:rsidRPr="004E5317">
        <w:rPr>
          <w:rFonts w:ascii="Arial" w:eastAsiaTheme="minorHAnsi" w:hAnsi="Arial" w:cs="Arial"/>
          <w:sz w:val="20"/>
          <w:szCs w:val="20"/>
        </w:rPr>
        <w:t xml:space="preserve"> </w:t>
      </w:r>
      <w:r w:rsidRPr="004E5317">
        <w:rPr>
          <w:rFonts w:ascii="Arial" w:eastAsiaTheme="minorHAnsi" w:hAnsi="Arial" w:cs="Arial"/>
          <w:sz w:val="20"/>
          <w:szCs w:val="20"/>
        </w:rPr>
        <w:t>is less than 30 mL/min/1.73 m</w:t>
      </w:r>
      <w:r w:rsidRPr="004E5317"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4E5317">
        <w:rPr>
          <w:rFonts w:ascii="Arial" w:eastAsiaTheme="minorHAnsi" w:hAnsi="Arial" w:cs="Arial"/>
          <w:sz w:val="20"/>
          <w:szCs w:val="20"/>
        </w:rPr>
        <w:t>.</w:t>
      </w:r>
    </w:p>
    <w:p w14:paraId="02A56B46" w14:textId="77777777" w:rsidR="002B3172" w:rsidRPr="004E5317" w:rsidRDefault="002B3172" w:rsidP="009B1405">
      <w:pPr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b/>
          <w:bCs/>
          <w:sz w:val="20"/>
          <w:szCs w:val="20"/>
        </w:rPr>
        <w:t>During treatment with metformin monitor renal function:</w:t>
      </w:r>
    </w:p>
    <w:p w14:paraId="1F10FFE0" w14:textId="77777777" w:rsidR="002B3172" w:rsidRPr="004E5317" w:rsidRDefault="002B3172" w:rsidP="007803C8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At least once a year in people with normal renal function.</w:t>
      </w:r>
    </w:p>
    <w:p w14:paraId="6A34E4A1" w14:textId="77777777" w:rsidR="002B3172" w:rsidRPr="004E5317" w:rsidRDefault="002B3172" w:rsidP="007803C8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At least twice a year in people with additional risk factors for renal impairment, such as the elderly, or if deterioration in renal function is suspected.</w:t>
      </w:r>
    </w:p>
    <w:p w14:paraId="0A33E46F" w14:textId="454191E0" w:rsidR="002B3172" w:rsidRPr="004E5317" w:rsidRDefault="002B3172" w:rsidP="007803C8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 xml:space="preserve">Review the dose of metformin if eGFR is less than </w:t>
      </w:r>
      <w:r w:rsidR="00E90905" w:rsidRPr="004E5317">
        <w:rPr>
          <w:rFonts w:ascii="Arial" w:eastAsiaTheme="minorHAnsi" w:hAnsi="Arial" w:cs="Arial"/>
          <w:sz w:val="20"/>
          <w:szCs w:val="20"/>
        </w:rPr>
        <w:t>60</w:t>
      </w:r>
      <w:r w:rsidRPr="004E5317">
        <w:rPr>
          <w:rFonts w:ascii="Arial" w:eastAsiaTheme="minorHAnsi" w:hAnsi="Arial" w:cs="Arial"/>
          <w:sz w:val="20"/>
          <w:szCs w:val="20"/>
        </w:rPr>
        <w:t xml:space="preserve"> mL/min/1.73 m</w:t>
      </w:r>
      <w:r w:rsidRPr="004E5317"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4E5317">
        <w:rPr>
          <w:rFonts w:ascii="Arial" w:eastAsiaTheme="minorHAnsi" w:hAnsi="Arial" w:cs="Arial"/>
          <w:sz w:val="20"/>
          <w:szCs w:val="20"/>
        </w:rPr>
        <w:t>.</w:t>
      </w:r>
    </w:p>
    <w:p w14:paraId="03CF380A" w14:textId="77777777" w:rsidR="002B3172" w:rsidRPr="004E5317" w:rsidRDefault="002B3172" w:rsidP="009B1405">
      <w:pPr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b/>
          <w:bCs/>
          <w:sz w:val="20"/>
          <w:szCs w:val="20"/>
        </w:rPr>
        <w:t>Stop treatment with metformin:</w:t>
      </w:r>
    </w:p>
    <w:p w14:paraId="3FA59693" w14:textId="77777777" w:rsidR="002B3172" w:rsidRPr="004E5317" w:rsidRDefault="002B3172" w:rsidP="007803C8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If eGFR is less than 30 mL/min/1.73 m</w:t>
      </w:r>
      <w:r w:rsidRPr="004E5317">
        <w:rPr>
          <w:rFonts w:ascii="Arial" w:eastAsiaTheme="minorHAnsi" w:hAnsi="Arial" w:cs="Arial"/>
          <w:sz w:val="20"/>
          <w:szCs w:val="20"/>
          <w:vertAlign w:val="superscript"/>
        </w:rPr>
        <w:t>2</w:t>
      </w:r>
      <w:r w:rsidRPr="004E5317">
        <w:rPr>
          <w:rFonts w:ascii="Arial" w:eastAsiaTheme="minorHAnsi" w:hAnsi="Arial" w:cs="Arial"/>
          <w:sz w:val="20"/>
          <w:szCs w:val="20"/>
        </w:rPr>
        <w:t>.</w:t>
      </w:r>
    </w:p>
    <w:p w14:paraId="52773F3A" w14:textId="7D06FC53" w:rsidR="004F361A" w:rsidRPr="004E5317" w:rsidRDefault="002B3172" w:rsidP="005E7CE6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>In people at risk of tissue hypoxia or sudden deterioration in renal function.</w:t>
      </w:r>
    </w:p>
    <w:p w14:paraId="38F70FD9" w14:textId="77777777" w:rsidR="00CC379E" w:rsidRPr="004E5317" w:rsidRDefault="00CC379E" w:rsidP="005E7CE6">
      <w:pPr>
        <w:ind w:left="1083"/>
        <w:contextualSpacing/>
        <w:rPr>
          <w:rFonts w:ascii="Arial" w:eastAsiaTheme="minorHAnsi" w:hAnsi="Arial" w:cs="Arial"/>
          <w:sz w:val="20"/>
          <w:szCs w:val="20"/>
        </w:rPr>
      </w:pPr>
    </w:p>
    <w:p w14:paraId="574EA856" w14:textId="5241E9DE" w:rsidR="002071D7" w:rsidRPr="004E5317" w:rsidRDefault="00FB2707" w:rsidP="00414740">
      <w:pPr>
        <w:rPr>
          <w:rFonts w:ascii="Arial" w:eastAsiaTheme="minorHAnsi" w:hAnsi="Arial" w:cs="Arial"/>
          <w:b/>
          <w:bCs/>
          <w:sz w:val="20"/>
          <w:szCs w:val="20"/>
          <w:u w:val="single"/>
        </w:rPr>
      </w:pPr>
      <w:r w:rsidRPr="004E5317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Dose adjustments </w:t>
      </w:r>
      <w:r w:rsidR="0067425E" w:rsidRPr="004E5317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required </w:t>
      </w:r>
      <w:r w:rsidRPr="004E5317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for patients with renal </w:t>
      </w:r>
      <w:proofErr w:type="gramStart"/>
      <w:r w:rsidRPr="004E5317">
        <w:rPr>
          <w:rFonts w:ascii="Arial" w:eastAsiaTheme="minorHAnsi" w:hAnsi="Arial" w:cs="Arial"/>
          <w:b/>
          <w:bCs/>
          <w:sz w:val="20"/>
          <w:szCs w:val="20"/>
          <w:u w:val="single"/>
        </w:rPr>
        <w:t>impairment</w:t>
      </w:r>
      <w:proofErr w:type="gramEnd"/>
    </w:p>
    <w:p w14:paraId="6C039E5A" w14:textId="14088911" w:rsidR="00C4572E" w:rsidRPr="004E5317" w:rsidRDefault="00414740" w:rsidP="00C4572E">
      <w:pPr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 wp14:anchorId="267F1F41" wp14:editId="077C0110">
            <wp:extent cx="6188710" cy="2209165"/>
            <wp:effectExtent l="76200" t="76200" r="135890" b="133985"/>
            <wp:docPr id="647128686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28686" name="Picture 1" descr="A white sheet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09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C8369D" w14:textId="47C1D278" w:rsidR="004E5317" w:rsidRPr="004E5317" w:rsidRDefault="004E5317" w:rsidP="004E5317">
      <w:pPr>
        <w:rPr>
          <w:rFonts w:ascii="Arial" w:hAnsi="Arial" w:cs="Arial"/>
          <w:sz w:val="20"/>
          <w:szCs w:val="20"/>
        </w:rPr>
      </w:pPr>
      <w:r w:rsidRPr="004E5317">
        <w:rPr>
          <w:rFonts w:ascii="Arial" w:hAnsi="Arial" w:cs="Arial"/>
          <w:sz w:val="20"/>
          <w:szCs w:val="20"/>
        </w:rPr>
        <w:t xml:space="preserve">Renal monitoring advice is based on the total daily dose of Metformin regardless of combination or form </w:t>
      </w:r>
      <w:r w:rsidR="00FC2AAC" w:rsidRPr="00FC2AAC">
        <w:rPr>
          <w:rFonts w:ascii="Arial" w:hAnsi="Arial" w:cs="Arial"/>
          <w:sz w:val="20"/>
          <w:szCs w:val="20"/>
        </w:rPr>
        <w:t>e.g.,</w:t>
      </w:r>
      <w:r w:rsidRPr="004E5317">
        <w:rPr>
          <w:rFonts w:ascii="Arial" w:hAnsi="Arial" w:cs="Arial"/>
          <w:sz w:val="20"/>
          <w:szCs w:val="20"/>
        </w:rPr>
        <w:t xml:space="preserve"> Immediate release or Modified Release</w:t>
      </w:r>
    </w:p>
    <w:p w14:paraId="56CEDC15" w14:textId="1DF6FDDE" w:rsidR="0058119F" w:rsidRPr="004E5317" w:rsidRDefault="00C9343B" w:rsidP="00C4572E">
      <w:pPr>
        <w:rPr>
          <w:rFonts w:ascii="Arial" w:hAnsi="Arial" w:cs="Arial"/>
          <w:sz w:val="20"/>
          <w:szCs w:val="20"/>
        </w:rPr>
      </w:pPr>
      <w:r w:rsidRPr="004E5317">
        <w:rPr>
          <w:rFonts w:ascii="Arial" w:hAnsi="Arial" w:cs="Arial"/>
          <w:sz w:val="20"/>
          <w:szCs w:val="20"/>
        </w:rPr>
        <w:t xml:space="preserve">Please consult the </w:t>
      </w:r>
      <w:hyperlink r:id="rId13" w:history="1">
        <w:proofErr w:type="spellStart"/>
        <w:r w:rsidR="00C24CD2" w:rsidRPr="004E5317">
          <w:rPr>
            <w:rStyle w:val="Hyperlink"/>
            <w:rFonts w:ascii="Arial" w:hAnsi="Arial" w:cs="Arial"/>
            <w:sz w:val="20"/>
            <w:szCs w:val="20"/>
          </w:rPr>
          <w:t>emc</w:t>
        </w:r>
        <w:proofErr w:type="spellEnd"/>
        <w:r w:rsidR="00C24CD2" w:rsidRPr="004E5317">
          <w:rPr>
            <w:rStyle w:val="Hyperlink"/>
            <w:rFonts w:ascii="Arial" w:hAnsi="Arial" w:cs="Arial"/>
            <w:sz w:val="20"/>
            <w:szCs w:val="20"/>
          </w:rPr>
          <w:t xml:space="preserve"> product literature</w:t>
        </w:r>
      </w:hyperlink>
      <w:r w:rsidR="00C24CD2" w:rsidRPr="004E5317">
        <w:rPr>
          <w:rFonts w:ascii="Arial" w:hAnsi="Arial" w:cs="Arial"/>
          <w:sz w:val="20"/>
          <w:szCs w:val="20"/>
        </w:rPr>
        <w:t xml:space="preserve"> </w:t>
      </w:r>
      <w:r w:rsidR="0058119F" w:rsidRPr="004E5317">
        <w:rPr>
          <w:rFonts w:ascii="Arial" w:hAnsi="Arial" w:cs="Arial"/>
          <w:sz w:val="20"/>
          <w:szCs w:val="20"/>
        </w:rPr>
        <w:t xml:space="preserve">for the specific </w:t>
      </w:r>
      <w:r w:rsidR="00C24CD2" w:rsidRPr="004E5317">
        <w:rPr>
          <w:rFonts w:ascii="Arial" w:hAnsi="Arial" w:cs="Arial"/>
          <w:sz w:val="20"/>
          <w:szCs w:val="20"/>
        </w:rPr>
        <w:t>M</w:t>
      </w:r>
      <w:r w:rsidR="0058119F" w:rsidRPr="004E5317">
        <w:rPr>
          <w:rFonts w:ascii="Arial" w:hAnsi="Arial" w:cs="Arial"/>
          <w:sz w:val="20"/>
          <w:szCs w:val="20"/>
        </w:rPr>
        <w:t>etformin product that is being prescribed</w:t>
      </w:r>
      <w:r w:rsidR="00FD773C" w:rsidRPr="004E5317">
        <w:rPr>
          <w:rFonts w:ascii="Arial" w:hAnsi="Arial" w:cs="Arial"/>
          <w:sz w:val="20"/>
          <w:szCs w:val="20"/>
        </w:rPr>
        <w:t>, for extra information.</w:t>
      </w:r>
    </w:p>
    <w:p w14:paraId="39C60732" w14:textId="01F36EDA" w:rsidR="00237E2C" w:rsidRPr="004E5317" w:rsidRDefault="00DC549F" w:rsidP="00C4572E">
      <w:pPr>
        <w:rPr>
          <w:rFonts w:ascii="Arial" w:eastAsiaTheme="minorHAnsi" w:hAnsi="Arial" w:cs="Arial"/>
          <w:sz w:val="20"/>
          <w:szCs w:val="20"/>
        </w:rPr>
      </w:pPr>
      <w:hyperlink r:id="rId14" w:history="1">
        <w:r w:rsidR="00FE76D5" w:rsidRPr="004E5317">
          <w:rPr>
            <w:rStyle w:val="Hyperlink"/>
            <w:rFonts w:ascii="Arial" w:hAnsi="Arial" w:cs="Arial"/>
            <w:sz w:val="20"/>
            <w:szCs w:val="20"/>
          </w:rPr>
          <w:t>NICE NG28</w:t>
        </w:r>
      </w:hyperlink>
      <w:r w:rsidR="00907A92" w:rsidRPr="004E5317">
        <w:rPr>
          <w:rFonts w:ascii="Arial" w:eastAsiaTheme="minorHAnsi" w:hAnsi="Arial" w:cs="Arial"/>
          <w:sz w:val="20"/>
          <w:szCs w:val="20"/>
        </w:rPr>
        <w:t xml:space="preserve"> has produced a </w:t>
      </w:r>
      <w:r w:rsidR="001336AD" w:rsidRPr="004E5317">
        <w:rPr>
          <w:rFonts w:ascii="Arial" w:eastAsiaTheme="minorHAnsi" w:hAnsi="Arial" w:cs="Arial"/>
          <w:sz w:val="20"/>
          <w:szCs w:val="20"/>
        </w:rPr>
        <w:t>5-page</w:t>
      </w:r>
      <w:r w:rsidR="00ED69EE" w:rsidRPr="004E5317">
        <w:rPr>
          <w:rFonts w:ascii="Arial" w:eastAsiaTheme="minorHAnsi" w:hAnsi="Arial" w:cs="Arial"/>
          <w:sz w:val="20"/>
          <w:szCs w:val="20"/>
        </w:rPr>
        <w:t xml:space="preserve"> summary on</w:t>
      </w:r>
      <w:r w:rsidR="00907A92" w:rsidRPr="004E5317">
        <w:rPr>
          <w:rFonts w:ascii="Arial" w:eastAsiaTheme="minorHAnsi" w:hAnsi="Arial" w:cs="Arial"/>
          <w:sz w:val="20"/>
          <w:szCs w:val="20"/>
        </w:rPr>
        <w:t xml:space="preserve"> </w:t>
      </w:r>
      <w:r w:rsidR="00ED69EE" w:rsidRPr="004E5317">
        <w:rPr>
          <w:rFonts w:ascii="Arial" w:eastAsiaTheme="minorHAnsi" w:hAnsi="Arial" w:cs="Arial"/>
          <w:sz w:val="20"/>
          <w:szCs w:val="20"/>
        </w:rPr>
        <w:t xml:space="preserve">factors to </w:t>
      </w:r>
      <w:r w:rsidR="00E9627A" w:rsidRPr="004E5317">
        <w:rPr>
          <w:rFonts w:ascii="Arial" w:eastAsiaTheme="minorHAnsi" w:hAnsi="Arial" w:cs="Arial"/>
          <w:sz w:val="20"/>
          <w:szCs w:val="20"/>
        </w:rPr>
        <w:t>consider</w:t>
      </w:r>
      <w:r w:rsidR="00ED69EE" w:rsidRPr="004E5317">
        <w:rPr>
          <w:rFonts w:ascii="Arial" w:eastAsiaTheme="minorHAnsi" w:hAnsi="Arial" w:cs="Arial"/>
          <w:sz w:val="20"/>
          <w:szCs w:val="20"/>
        </w:rPr>
        <w:t xml:space="preserve"> when choosing, reviewing and changing medicines </w:t>
      </w:r>
      <w:r w:rsidR="00B5744E" w:rsidRPr="004E5317">
        <w:rPr>
          <w:rFonts w:ascii="Arial" w:eastAsiaTheme="minorHAnsi" w:hAnsi="Arial" w:cs="Arial"/>
          <w:sz w:val="20"/>
          <w:szCs w:val="20"/>
        </w:rPr>
        <w:t>in adults with type 2 diabetes.</w:t>
      </w:r>
    </w:p>
    <w:p w14:paraId="661F4BB8" w14:textId="51F64AE1" w:rsidR="00B5744E" w:rsidRPr="004E5317" w:rsidRDefault="00A652F0" w:rsidP="00C4572E">
      <w:pPr>
        <w:rPr>
          <w:rFonts w:ascii="Arial" w:eastAsiaTheme="minorHAnsi" w:hAnsi="Arial" w:cs="Arial"/>
          <w:sz w:val="20"/>
          <w:szCs w:val="20"/>
        </w:rPr>
      </w:pPr>
      <w:r w:rsidRPr="004E5317">
        <w:rPr>
          <w:rFonts w:ascii="Arial" w:eastAsiaTheme="minorHAnsi" w:hAnsi="Arial" w:cs="Arial"/>
          <w:sz w:val="20"/>
          <w:szCs w:val="20"/>
        </w:rPr>
        <w:t xml:space="preserve">LSCMMG also has a useful </w:t>
      </w:r>
      <w:hyperlink r:id="rId15" w:history="1">
        <w:r w:rsidRPr="004E5317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Guideline for </w:t>
        </w:r>
        <w:proofErr w:type="spellStart"/>
        <w:r w:rsidRPr="004E5317">
          <w:rPr>
            <w:rStyle w:val="Hyperlink"/>
            <w:rFonts w:ascii="Arial" w:eastAsiaTheme="minorHAnsi" w:hAnsi="Arial" w:cs="Arial"/>
            <w:sz w:val="20"/>
            <w:szCs w:val="20"/>
          </w:rPr>
          <w:t>antihyperglycaemic</w:t>
        </w:r>
        <w:proofErr w:type="spellEnd"/>
        <w:r w:rsidRPr="004E5317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 therapy in adults </w:t>
        </w:r>
      </w:hyperlink>
    </w:p>
    <w:sectPr w:rsidR="00B5744E" w:rsidRPr="004E5317" w:rsidSect="00B046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14A8" w14:textId="77777777" w:rsidR="009077F1" w:rsidRDefault="009077F1">
      <w:pPr>
        <w:spacing w:after="0" w:line="240" w:lineRule="auto"/>
      </w:pPr>
      <w:r>
        <w:separator/>
      </w:r>
    </w:p>
  </w:endnote>
  <w:endnote w:type="continuationSeparator" w:id="0">
    <w:p w14:paraId="23C8D203" w14:textId="77777777" w:rsidR="009077F1" w:rsidRDefault="009077F1">
      <w:pPr>
        <w:spacing w:after="0" w:line="240" w:lineRule="auto"/>
      </w:pPr>
      <w:r>
        <w:continuationSeparator/>
      </w:r>
    </w:p>
  </w:endnote>
  <w:endnote w:type="continuationNotice" w:id="1">
    <w:p w14:paraId="6EEA9DD3" w14:textId="77777777" w:rsidR="009077F1" w:rsidRDefault="00907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5B80" w14:textId="77777777" w:rsidR="00DC549F" w:rsidRDefault="00DC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E1A" w14:textId="0B1FFB16" w:rsidR="004E7601" w:rsidRPr="008C006F" w:rsidRDefault="004E7601" w:rsidP="004E7601">
    <w:pPr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 xml:space="preserve">To contact the Medicines Optimisation Team please phone 01772 </w:t>
    </w:r>
    <w:proofErr w:type="gramStart"/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214302</w:t>
    </w:r>
    <w:proofErr w:type="gramEnd"/>
  </w:p>
  <w:p w14:paraId="3555C4F2" w14:textId="77777777" w:rsidR="004E7601" w:rsidRDefault="004E7601" w:rsidP="004E7601">
    <w:pPr>
      <w:spacing w:line="240" w:lineRule="auto"/>
      <w:contextualSpacing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>tips</w:t>
    </w:r>
    <w:proofErr w:type="gramEnd"/>
    <w:r w:rsidRPr="00D87296">
      <w:rPr>
        <w:rFonts w:asciiTheme="minorHAnsi" w:eastAsiaTheme="minorHAnsi" w:hAnsiTheme="minorHAnsi" w:cstheme="minorHAnsi"/>
        <w:b/>
        <w:color w:val="FF0000"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29AF6B11" w14:textId="6A05F0E1" w:rsidR="004E7601" w:rsidRPr="00B9378C" w:rsidRDefault="004E7601" w:rsidP="00B9378C">
    <w:pPr>
      <w:spacing w:line="240" w:lineRule="auto"/>
      <w:contextualSpacing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03E6" w14:textId="77777777" w:rsidR="00DC549F" w:rsidRDefault="00DC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1915" w14:textId="77777777" w:rsidR="009077F1" w:rsidRDefault="009077F1">
      <w:pPr>
        <w:spacing w:after="0" w:line="240" w:lineRule="auto"/>
      </w:pPr>
      <w:r>
        <w:separator/>
      </w:r>
    </w:p>
  </w:footnote>
  <w:footnote w:type="continuationSeparator" w:id="0">
    <w:p w14:paraId="5052BE45" w14:textId="77777777" w:rsidR="009077F1" w:rsidRDefault="009077F1">
      <w:pPr>
        <w:spacing w:after="0" w:line="240" w:lineRule="auto"/>
      </w:pPr>
      <w:r>
        <w:continuationSeparator/>
      </w:r>
    </w:p>
  </w:footnote>
  <w:footnote w:type="continuationNotice" w:id="1">
    <w:p w14:paraId="4F1B5B61" w14:textId="77777777" w:rsidR="009077F1" w:rsidRDefault="00907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AD93" w14:textId="77777777" w:rsidR="00DC549F" w:rsidRDefault="00DC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149ED8AD" w:rsidR="00305C95" w:rsidRPr="0042428A" w:rsidRDefault="0042340F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67936F57">
          <wp:simplePos x="0" y="0"/>
          <wp:positionH relativeFrom="column">
            <wp:posOffset>4594860</wp:posOffset>
          </wp:positionH>
          <wp:positionV relativeFrom="paragraph">
            <wp:posOffset>-55880</wp:posOffset>
          </wp:positionV>
          <wp:extent cx="721970" cy="471859"/>
          <wp:effectExtent l="0" t="0" r="2540" b="444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43" cy="47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514F3B81">
          <wp:simplePos x="0" y="0"/>
          <wp:positionH relativeFrom="column">
            <wp:posOffset>5545938</wp:posOffset>
          </wp:positionH>
          <wp:positionV relativeFrom="paragraph">
            <wp:posOffset>-78740</wp:posOffset>
          </wp:positionV>
          <wp:extent cx="1075207" cy="464820"/>
          <wp:effectExtent l="0" t="0" r="0" b="0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37" cy="4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DC549F">
      <w:rPr>
        <w:rFonts w:ascii="Arial" w:hAnsi="Arial" w:cs="Arial"/>
        <w:sz w:val="20"/>
        <w:szCs w:val="20"/>
      </w:rPr>
      <w:t>408</w:t>
    </w:r>
  </w:p>
  <w:p w14:paraId="7CF38347" w14:textId="4BCEB32E" w:rsidR="00DC549F" w:rsidRPr="0042428A" w:rsidRDefault="00E042CB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705B19">
      <w:rPr>
        <w:rFonts w:ascii="Arial" w:eastAsiaTheme="minorHAnsi" w:hAnsi="Arial" w:cs="Arial"/>
        <w:bCs/>
        <w:noProof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D0465DC" wp14:editId="4C3643EC">
              <wp:simplePos x="0" y="0"/>
              <wp:positionH relativeFrom="margin">
                <wp:posOffset>2011680</wp:posOffset>
              </wp:positionH>
              <wp:positionV relativeFrom="paragraph">
                <wp:posOffset>91440</wp:posOffset>
              </wp:positionV>
              <wp:extent cx="2377440" cy="282575"/>
              <wp:effectExtent l="0" t="0" r="22860" b="22225"/>
              <wp:wrapTight wrapText="bothSides">
                <wp:wrapPolygon edited="0">
                  <wp:start x="0" y="0"/>
                  <wp:lineTo x="0" y="21600"/>
                  <wp:lineTo x="21540" y="21600"/>
                  <wp:lineTo x="2154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7B8D" w14:textId="77777777" w:rsidR="0042340F" w:rsidRPr="003B7F3E" w:rsidRDefault="0042340F" w:rsidP="004234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465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4pt;margin-top:7.2pt;width:187.2pt;height:22.25pt;z-index:-25165619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" fillcolor="#8eaadb [1940]" strokecolor="#1f3763 [1604]" strokeweight="1.25pt">
              <v:textbox>
                <w:txbxContent>
                  <w:p w14:paraId="15917B8D" w14:textId="77777777" w:rsidR="0042340F" w:rsidRPr="003B7F3E" w:rsidRDefault="0042340F" w:rsidP="004234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DC549F">
      <w:rPr>
        <w:rFonts w:ascii="Arial" w:hAnsi="Arial" w:cs="Arial"/>
        <w:sz w:val="20"/>
        <w:szCs w:val="20"/>
      </w:rPr>
      <w:t>23</w:t>
    </w:r>
    <w:r w:rsidR="00DC549F" w:rsidRPr="00DC549F">
      <w:rPr>
        <w:rFonts w:ascii="Arial" w:hAnsi="Arial" w:cs="Arial"/>
        <w:sz w:val="20"/>
        <w:szCs w:val="20"/>
        <w:vertAlign w:val="superscript"/>
      </w:rPr>
      <w:t>rd</w:t>
    </w:r>
    <w:r w:rsidR="00DC549F">
      <w:rPr>
        <w:rFonts w:ascii="Arial" w:hAnsi="Arial" w:cs="Arial"/>
        <w:sz w:val="20"/>
        <w:szCs w:val="20"/>
      </w:rPr>
      <w:t xml:space="preserve"> August </w:t>
    </w:r>
    <w:r w:rsidR="00DC549F">
      <w:rPr>
        <w:rFonts w:ascii="Arial" w:hAnsi="Arial" w:cs="Arial"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3A78" w14:textId="77777777" w:rsidR="00DC549F" w:rsidRDefault="00DC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96014"/>
    <w:multiLevelType w:val="hybridMultilevel"/>
    <w:tmpl w:val="5232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75AE5"/>
    <w:multiLevelType w:val="hybridMultilevel"/>
    <w:tmpl w:val="B84E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0141"/>
    <w:multiLevelType w:val="multilevel"/>
    <w:tmpl w:val="AE8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6448">
    <w:abstractNumId w:val="7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1"/>
  </w:num>
  <w:num w:numId="7" w16cid:durableId="1856454201">
    <w:abstractNumId w:val="6"/>
  </w:num>
  <w:num w:numId="8" w16cid:durableId="1356535474">
    <w:abstractNumId w:val="8"/>
  </w:num>
  <w:num w:numId="9" w16cid:durableId="58989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5172E"/>
    <w:rsid w:val="00064EC1"/>
    <w:rsid w:val="0009011C"/>
    <w:rsid w:val="000B1846"/>
    <w:rsid w:val="000B325A"/>
    <w:rsid w:val="000B6958"/>
    <w:rsid w:val="000D2F0B"/>
    <w:rsid w:val="001336AD"/>
    <w:rsid w:val="00187120"/>
    <w:rsid w:val="001C4EAB"/>
    <w:rsid w:val="002071D7"/>
    <w:rsid w:val="00235CBF"/>
    <w:rsid w:val="00237E2C"/>
    <w:rsid w:val="00244F14"/>
    <w:rsid w:val="0024595D"/>
    <w:rsid w:val="002B3172"/>
    <w:rsid w:val="002C1CC3"/>
    <w:rsid w:val="002F5C53"/>
    <w:rsid w:val="0030164A"/>
    <w:rsid w:val="00305C95"/>
    <w:rsid w:val="00327F5B"/>
    <w:rsid w:val="00395C1C"/>
    <w:rsid w:val="003D0624"/>
    <w:rsid w:val="00414740"/>
    <w:rsid w:val="0042340F"/>
    <w:rsid w:val="0042428A"/>
    <w:rsid w:val="004935FE"/>
    <w:rsid w:val="004E5317"/>
    <w:rsid w:val="004E7601"/>
    <w:rsid w:val="004F361A"/>
    <w:rsid w:val="00543DC0"/>
    <w:rsid w:val="0058119F"/>
    <w:rsid w:val="00585282"/>
    <w:rsid w:val="00593BD1"/>
    <w:rsid w:val="005971C4"/>
    <w:rsid w:val="005B1FD2"/>
    <w:rsid w:val="005E3242"/>
    <w:rsid w:val="005E4EF4"/>
    <w:rsid w:val="005E7CE6"/>
    <w:rsid w:val="0061157D"/>
    <w:rsid w:val="00622C26"/>
    <w:rsid w:val="00625F39"/>
    <w:rsid w:val="00644DD6"/>
    <w:rsid w:val="0067425E"/>
    <w:rsid w:val="00681EB0"/>
    <w:rsid w:val="006B59AD"/>
    <w:rsid w:val="006E27D9"/>
    <w:rsid w:val="006E5481"/>
    <w:rsid w:val="006F2645"/>
    <w:rsid w:val="00714916"/>
    <w:rsid w:val="007803C8"/>
    <w:rsid w:val="008A0AF8"/>
    <w:rsid w:val="008A10D4"/>
    <w:rsid w:val="008A4C51"/>
    <w:rsid w:val="008A5995"/>
    <w:rsid w:val="008A7C9B"/>
    <w:rsid w:val="008B6EB5"/>
    <w:rsid w:val="008C006F"/>
    <w:rsid w:val="008D0DFE"/>
    <w:rsid w:val="008F04B5"/>
    <w:rsid w:val="009077F1"/>
    <w:rsid w:val="00907A92"/>
    <w:rsid w:val="009A751A"/>
    <w:rsid w:val="009B1405"/>
    <w:rsid w:val="009E1725"/>
    <w:rsid w:val="00A652F0"/>
    <w:rsid w:val="00AC67D6"/>
    <w:rsid w:val="00AF4895"/>
    <w:rsid w:val="00B046EE"/>
    <w:rsid w:val="00B22354"/>
    <w:rsid w:val="00B5744E"/>
    <w:rsid w:val="00B648D9"/>
    <w:rsid w:val="00B650AF"/>
    <w:rsid w:val="00B76758"/>
    <w:rsid w:val="00B9378C"/>
    <w:rsid w:val="00C001C1"/>
    <w:rsid w:val="00C00B0D"/>
    <w:rsid w:val="00C24CD2"/>
    <w:rsid w:val="00C25C25"/>
    <w:rsid w:val="00C44128"/>
    <w:rsid w:val="00C4572E"/>
    <w:rsid w:val="00C9343B"/>
    <w:rsid w:val="00CC379E"/>
    <w:rsid w:val="00D04324"/>
    <w:rsid w:val="00D16374"/>
    <w:rsid w:val="00D20CC0"/>
    <w:rsid w:val="00D233C9"/>
    <w:rsid w:val="00D65615"/>
    <w:rsid w:val="00DC549F"/>
    <w:rsid w:val="00DE14A5"/>
    <w:rsid w:val="00DF11AE"/>
    <w:rsid w:val="00E042CB"/>
    <w:rsid w:val="00E110CC"/>
    <w:rsid w:val="00E270DF"/>
    <w:rsid w:val="00E409A6"/>
    <w:rsid w:val="00E42C92"/>
    <w:rsid w:val="00E634F5"/>
    <w:rsid w:val="00E90905"/>
    <w:rsid w:val="00E9627A"/>
    <w:rsid w:val="00EC3229"/>
    <w:rsid w:val="00EC6F98"/>
    <w:rsid w:val="00ED69EE"/>
    <w:rsid w:val="00EE5EE0"/>
    <w:rsid w:val="00F023EB"/>
    <w:rsid w:val="00F519B9"/>
    <w:rsid w:val="00F570BF"/>
    <w:rsid w:val="00F57404"/>
    <w:rsid w:val="00F81359"/>
    <w:rsid w:val="00FB0CB5"/>
    <w:rsid w:val="00FB2707"/>
    <w:rsid w:val="00FB6A86"/>
    <w:rsid w:val="00FC2AAC"/>
    <w:rsid w:val="00FD773C"/>
    <w:rsid w:val="00FE76D5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09A6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cines.org.uk/emc/search?q=%22Metformin%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ancsmmg.nhs.uk/media/1761/algorithm-for-antihyperglycaemic-therapy-in-adults-with-type-ii-v19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guidance/ng28/resources/visual-summary-full-version-choosing-medicines-for-firstline-and-further-treatment-pdf-10956472093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ZTN2ZK5Q2N6R-32785368-332275</_dlc_DocId>
    <_dlc_DocIdUrl xmlns="9ecf9374-0d71-4a51-a9c5-198dd68970ed">
      <Url>https://csucloudservices.sharepoint.com/teams/quality/medicine/_layouts/15/DocIdRedir.aspx?ID=ZTN2ZK5Q2N6R-32785368-332275</Url>
      <Description>ZTN2ZK5Q2N6R-32785368-332275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a2c901e49649f6898ea17d6c48b4cfe8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6dfccfe9cb944ab5509cd8b413573ca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f04dcd-1aad-4718-b4ef-cb5a94bb72b3"/>
    <ds:schemaRef ds:uri="http://schemas.microsoft.com/office/infopath/2007/PartnerControls"/>
    <ds:schemaRef ds:uri="9ecf9374-0d71-4a51-a9c5-198dd68970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F48999-BCC1-4BF3-B212-BC2CB207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Nicola Schaffel (MLCSU)</cp:lastModifiedBy>
  <cp:revision>2</cp:revision>
  <dcterms:created xsi:type="dcterms:W3CDTF">2023-08-23T12:48:00Z</dcterms:created>
  <dcterms:modified xsi:type="dcterms:W3CDTF">2023-08-23T12:48:00Z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c2592468-22f5-4437-b716-a0e817ade919</vt:lpwstr>
  </property>
  <property fmtid="{D5CDD505-2E9C-101B-9397-08002B2CF9AE}" pid="4" name="MediaServiceImageTags">
    <vt:lpwstr/>
  </property>
</Properties>
</file>